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bdr w:val="none" w:color="auto" w:sz="0" w:space="0"/>
          <w:shd w:val="clear" w:fill="FFFFFF"/>
        </w:rPr>
        <w:br w:type="textWrapping"/>
      </w: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国务院决定下放审批层级的行政许可事项目录</w:t>
      </w:r>
      <w:r>
        <w:rPr>
          <w:rFonts w:hint="eastAsia" w:ascii="宋体" w:hAnsi="宋体" w:eastAsia="宋体" w:cs="宋体"/>
          <w:i w:val="0"/>
          <w:caps w:val="0"/>
          <w:color w:val="333333"/>
          <w:spacing w:val="0"/>
          <w:sz w:val="19"/>
          <w:szCs w:val="19"/>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（共4项）</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2"/>
        <w:gridCol w:w="1200"/>
        <w:gridCol w:w="1236"/>
        <w:gridCol w:w="1188"/>
        <w:gridCol w:w="1308"/>
        <w:gridCol w:w="3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bdr w:val="none" w:color="auto" w:sz="0" w:space="0"/>
              </w:rPr>
              <w:t>序号</w:t>
            </w:r>
          </w:p>
        </w:tc>
        <w:tc>
          <w:tcPr>
            <w:tcW w:w="12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事项名称</w:t>
            </w:r>
          </w:p>
        </w:tc>
        <w:tc>
          <w:tcPr>
            <w:tcW w:w="123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部门</w:t>
            </w:r>
          </w:p>
        </w:tc>
        <w:tc>
          <w:tcPr>
            <w:tcW w:w="118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设定依据</w:t>
            </w:r>
          </w:p>
        </w:tc>
        <w:tc>
          <w:tcPr>
            <w:tcW w:w="130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下放后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审批部门</w:t>
            </w:r>
          </w:p>
        </w:tc>
        <w:tc>
          <w:tcPr>
            <w:tcW w:w="337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加强事中事后监管措施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1</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出口国家重点保护的农业野生植物或进出口中国参加的国际公约限制进出口的农业野生植物审批</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农业农村部</w:t>
            </w:r>
          </w:p>
        </w:tc>
        <w:tc>
          <w:tcPr>
            <w:tcW w:w="11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《中华人民共和国野生植物保护条例》</w:t>
            </w:r>
          </w:p>
        </w:tc>
        <w:tc>
          <w:tcPr>
            <w:tcW w:w="13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省级农业农村部门</w:t>
            </w:r>
          </w:p>
        </w:tc>
        <w:tc>
          <w:tcPr>
            <w:tcW w:w="33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下放后，取消省级农业农村部门负责实施的初审。农业农村部门要通过以下措施加强监管：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1.省级农业农村部门严格实施许可，加强对出口国家重点保护的农业野生植物和进出口我国参加的国际公约限制进出口的农业野生植物的监管。农业农村部要加强对省级农业农村部门有关工作的指导和监督。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2.加强跨部门、跨层级的信息共享，省级农业农村部门要及时将许可信息推送至农业农村部、国家林草局（国家濒危物种进出口管理机构）、海关等部门。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3.通过“双随机、一公开”监管、信用监管等方式加大执法监督力度，发现违法违规行为要依法查处并向社会公开结果。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2</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成品油零售经营资格审批</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省级商务部门</w:t>
            </w:r>
          </w:p>
        </w:tc>
        <w:tc>
          <w:tcPr>
            <w:tcW w:w="11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《国务院对确需保留的行政审批项目设定行政许可的决定》</w:t>
            </w:r>
          </w:p>
        </w:tc>
        <w:tc>
          <w:tcPr>
            <w:tcW w:w="13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设区的市级人民政府指定部门</w:t>
            </w:r>
          </w:p>
        </w:tc>
        <w:tc>
          <w:tcPr>
            <w:tcW w:w="33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下放后，设区的市级人民政府指定部门（以下简称指定部门）要会同有关部门通过以下措施加强监管：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指定部门严格落实成品油流通行业监管职责。要求成品油零售企业建立购销台账制度，完善油品来源、检验报告、检查记录等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2.地方政府严格落实属地监管职责。设区的市级人民政府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3.相关部门严格落实专项监管职责。从事成品油零售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4.加强成品油零售行业监管信息共享运用。市场监管部门要及时将新登记经营范围涉及成品油零售的企业信息推送至有关主管部门。商务部门要将改革前已取得相应许可的成品油零售企业信息推送至有关主管部门。指定部门要将行业监管中发现的超经营范围经营企业信息或者无照经营信息及时推送至有关主管部门。各有关主管部门要充分运用共享的监管信息，有针对性地加强监管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3</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县级广播电台、电视台变更台名、节目设置范围或节目套数审批</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广电总局</w:t>
            </w:r>
          </w:p>
        </w:tc>
        <w:tc>
          <w:tcPr>
            <w:tcW w:w="11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《广播电视管理条例》</w:t>
            </w:r>
          </w:p>
        </w:tc>
        <w:tc>
          <w:tcPr>
            <w:tcW w:w="13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省级广电部门</w:t>
            </w:r>
          </w:p>
        </w:tc>
        <w:tc>
          <w:tcPr>
            <w:tcW w:w="33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下放后，广电部门要通过以下措施加强监管：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1.省级广电部门在规定时限内将审批情况推送至广电总局，并向社会公示辖区内县级广播电台、电视台频道开办情况。广电总局要加强对省级广电部门的工作指导和监督。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2.完善技术监管措施，对广播电台、电视台节目播出情况进行实时监管，制定应急预案并及时处理突发事件。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3.通过“双随机、一公开”监管、信用监管等方式，加大执法监督力度，发现违法违规行为要依法查处并向社会公开结果。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4</w:t>
            </w:r>
          </w:p>
        </w:tc>
        <w:tc>
          <w:tcPr>
            <w:tcW w:w="12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设区的市、县级地方新闻单位的信息网络传播视听节目许可证核发</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广电总局</w:t>
            </w:r>
          </w:p>
        </w:tc>
        <w:tc>
          <w:tcPr>
            <w:tcW w:w="11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《国务院对确需保留的行政审批项目设定行政许可的决定》</w:t>
            </w:r>
          </w:p>
        </w:tc>
        <w:tc>
          <w:tcPr>
            <w:tcW w:w="13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省级广电部门</w:t>
            </w:r>
          </w:p>
        </w:tc>
        <w:tc>
          <w:tcPr>
            <w:tcW w:w="337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下放后，广电部门要通过以下措施加强监管：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1.建立健全审批情况信息共享、节目报备和重大事项报告等制度，将设区的市、县级地方新闻单位播出的网络视听节目纳入网络视听节目管理系统。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sz w:val="21"/>
                <w:szCs w:val="21"/>
              </w:rPr>
            </w:pPr>
            <w:r>
              <w:rPr>
                <w:rFonts w:hint="eastAsia" w:ascii="宋体" w:hAnsi="宋体" w:eastAsia="宋体" w:cs="宋体"/>
                <w:sz w:val="20"/>
                <w:szCs w:val="20"/>
                <w:bdr w:val="none" w:color="auto" w:sz="0" w:space="0"/>
              </w:rPr>
              <w:t>2.指导督促新闻单位建立健全总编辑负责、节目播前审查、重要节目播出管理等制度。将有关节目纳入各级广播电视和网络视听监测监管平台，加强内容监管。发现违反规定造成重大事故的要严肃处理。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7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2020-09-27T10:18:13Z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