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黑体" w:hAnsi="黑体" w:eastAsia="黑体"/>
          <w:sz w:val="32"/>
          <w:szCs w:val="32"/>
          <w:lang w:eastAsia="zh-CN"/>
        </w:rPr>
      </w:pPr>
      <w:r>
        <w:rPr>
          <w:rFonts w:hint="eastAsia" w:ascii="黑体" w:hAnsi="黑体" w:eastAsia="黑体"/>
          <w:sz w:val="32"/>
          <w:szCs w:val="32"/>
        </w:rPr>
        <w:t>附</w:t>
      </w:r>
      <w:r>
        <w:rPr>
          <w:rFonts w:hint="eastAsia" w:ascii="黑体" w:hAnsi="黑体" w:eastAsia="黑体"/>
          <w:sz w:val="32"/>
          <w:szCs w:val="32"/>
          <w:lang w:eastAsia="zh-CN"/>
        </w:rPr>
        <w:t>件</w:t>
      </w: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9"/>
        <w:rPr>
          <w:rFonts w:hint="eastAsia" w:ascii="方正小标宋_GBK" w:hAnsi="方正小标宋_GBK" w:eastAsia="方正小标宋_GBK"/>
          <w:sz w:val="44"/>
          <w:szCs w:val="32"/>
        </w:rPr>
      </w:pPr>
      <w:bookmarkStart w:id="0" w:name="_GoBack"/>
      <w:bookmarkEnd w:id="0"/>
      <w:r>
        <w:rPr>
          <w:rFonts w:hint="eastAsia" w:ascii="方正小标宋_GBK" w:hAnsi="方正小标宋_GBK" w:eastAsia="方正小标宋_GBK"/>
          <w:sz w:val="44"/>
          <w:szCs w:val="32"/>
        </w:rPr>
        <w:t>代收业务适用场景</w:t>
      </w:r>
    </w:p>
    <w:tbl>
      <w:tblPr>
        <w:tblStyle w:val="4"/>
        <w:tblpPr w:leftFromText="180" w:rightFromText="180" w:vertAnchor="text" w:horzAnchor="page" w:tblpX="1245" w:tblpY="7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4"/>
        <w:gridCol w:w="1054"/>
        <w:gridCol w:w="1620"/>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5508" w:type="dxa"/>
            <w:gridSpan w:val="3"/>
            <w:noWrap w:val="0"/>
            <w:vAlign w:val="center"/>
          </w:tcPr>
          <w:p>
            <w:pPr>
              <w:jc w:val="center"/>
              <w:rPr>
                <w:b/>
                <w:bCs/>
              </w:rPr>
            </w:pPr>
            <w:r>
              <w:rPr>
                <w:rFonts w:hint="eastAsia" w:ascii="仿宋_GB2312" w:hAnsi="仿宋_GB2312" w:eastAsia="仿宋_GB2312"/>
                <w:b/>
                <w:bCs/>
                <w:sz w:val="24"/>
              </w:rPr>
              <w:t>类型</w:t>
            </w:r>
          </w:p>
        </w:tc>
        <w:tc>
          <w:tcPr>
            <w:tcW w:w="8854" w:type="dxa"/>
            <w:noWrap w:val="0"/>
            <w:vAlign w:val="top"/>
          </w:tcPr>
          <w:p>
            <w:pPr>
              <w:jc w:val="center"/>
              <w:rPr>
                <w:b/>
                <w:bCs/>
              </w:rPr>
            </w:pPr>
            <w:r>
              <w:rPr>
                <w:rFonts w:hint="eastAsia" w:ascii="仿宋_GB2312" w:hAnsi="仿宋_GB2312" w:eastAsia="仿宋_GB2312"/>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2834" w:type="dxa"/>
            <w:vMerge w:val="restart"/>
            <w:noWrap w:val="0"/>
            <w:vAlign w:val="center"/>
          </w:tcPr>
          <w:p>
            <w:pPr>
              <w:rPr>
                <w:rFonts w:hint="eastAsia" w:ascii="仿宋_GB2312" w:hAnsi="仿宋_GB2312" w:eastAsia="仿宋_GB2312"/>
                <w:b/>
                <w:bCs/>
                <w:sz w:val="24"/>
              </w:rPr>
            </w:pPr>
            <w:r>
              <w:rPr>
                <w:rFonts w:hint="eastAsia" w:ascii="仿宋_GB2312" w:hAnsi="仿宋_GB2312" w:eastAsia="仿宋_GB2312"/>
                <w:b/>
                <w:bCs/>
                <w:sz w:val="24"/>
              </w:rPr>
              <w:t>需符合代收业务适用场景第一</w:t>
            </w:r>
            <w:r>
              <w:rPr>
                <w:rFonts w:hint="eastAsia" w:ascii="仿宋_GB2312" w:hAnsi="仿宋_GB2312" w:eastAsia="仿宋_GB2312"/>
                <w:b/>
                <w:bCs/>
                <w:sz w:val="24"/>
                <w:lang w:eastAsia="zh-CN"/>
              </w:rPr>
              <w:t>项</w:t>
            </w:r>
            <w:r>
              <w:rPr>
                <w:rFonts w:hint="eastAsia" w:ascii="仿宋_GB2312" w:hAnsi="仿宋_GB2312" w:eastAsia="仿宋_GB2312"/>
                <w:b/>
                <w:bCs/>
                <w:sz w:val="24"/>
              </w:rPr>
              <w:t>规定的授权要求</w:t>
            </w: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便民</w:t>
            </w:r>
            <w:r>
              <w:rPr>
                <w:rFonts w:hint="eastAsia" w:ascii="仿宋_GB2312" w:hAnsi="仿宋_GB2312" w:eastAsia="仿宋_GB2312"/>
                <w:sz w:val="24"/>
                <w:lang w:eastAsia="zh-CN"/>
              </w:rPr>
              <w:t>服务</w:t>
            </w:r>
            <w:r>
              <w:rPr>
                <w:rFonts w:hint="eastAsia" w:ascii="仿宋_GB2312" w:hAnsi="仿宋_GB2312" w:eastAsia="仿宋_GB2312"/>
                <w:sz w:val="24"/>
              </w:rPr>
              <w:t>缴费</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水、电、煤、燃气、供暖、废弃物处理费用、物业费、交通出行费用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政府服务税费缴纳</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涉及政府服务的税收、非税收入、五险一金等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公益捐款</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向社会福利与公益慈善组织的捐款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通讯服务费缴纳</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lang w:eastAsia="zh-CN"/>
              </w:rPr>
              <w:t>固定电话</w:t>
            </w:r>
            <w:r>
              <w:rPr>
                <w:rFonts w:hint="eastAsia" w:ascii="仿宋_GB2312" w:hAnsi="仿宋_GB2312" w:eastAsia="仿宋_GB2312"/>
                <w:sz w:val="24"/>
                <w:szCs w:val="24"/>
              </w:rPr>
              <w:t>、手机、网络、电视等费</w:t>
            </w:r>
            <w:r>
              <w:rPr>
                <w:rFonts w:hint="eastAsia" w:ascii="仿宋_GB2312" w:hAnsi="仿宋_GB2312" w:eastAsia="仿宋_GB2312"/>
                <w:sz w:val="24"/>
                <w:szCs w:val="24"/>
                <w:lang w:eastAsia="zh-CN"/>
              </w:rPr>
              <w:t>用缴纳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还款</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信用卡还款、银行及国务院银行业监督管理机构批准设立的有发放贷款资质许可的其他机构的贷款偿还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保险费用缴纳</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保</w:t>
            </w:r>
            <w:r>
              <w:rPr>
                <w:rFonts w:hint="eastAsia" w:ascii="仿宋_GB2312" w:hAnsi="仿宋_GB2312" w:eastAsia="仿宋_GB2312"/>
                <w:sz w:val="24"/>
                <w:szCs w:val="24"/>
                <w:lang w:eastAsia="zh-CN"/>
              </w:rPr>
              <w:t>险</w:t>
            </w:r>
            <w:r>
              <w:rPr>
                <w:rFonts w:hint="eastAsia" w:ascii="仿宋_GB2312" w:hAnsi="仿宋_GB2312" w:eastAsia="仿宋_GB2312"/>
                <w:sz w:val="24"/>
                <w:szCs w:val="24"/>
              </w:rPr>
              <w:t>费</w:t>
            </w:r>
            <w:r>
              <w:rPr>
                <w:rFonts w:hint="eastAsia" w:ascii="仿宋_GB2312" w:hAnsi="仿宋_GB2312" w:eastAsia="仿宋_GB2312"/>
                <w:sz w:val="24"/>
                <w:szCs w:val="24"/>
                <w:lang w:eastAsia="zh-CN"/>
              </w:rPr>
              <w:t>用</w:t>
            </w:r>
            <w:r>
              <w:rPr>
                <w:rFonts w:hint="eastAsia" w:ascii="仿宋_GB2312" w:hAnsi="仿宋_GB2312" w:eastAsia="仿宋_GB2312"/>
                <w:sz w:val="24"/>
                <w:szCs w:val="24"/>
              </w:rPr>
              <w:t>缴纳（不含投资型保险）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hint="eastAsia" w:ascii="仿宋_GB2312" w:hAnsi="仿宋_GB2312" w:eastAsia="仿宋_GB2312"/>
                <w:sz w:val="24"/>
              </w:rPr>
            </w:pPr>
            <w:r>
              <w:rPr>
                <w:rFonts w:hint="eastAsia" w:ascii="仿宋_GB2312" w:hAnsi="仿宋_GB2312" w:eastAsia="仿宋_GB2312"/>
                <w:sz w:val="24"/>
              </w:rPr>
              <w:t>银行账户充值</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限定为定期或者在Ⅱ</w:t>
            </w:r>
            <w:r>
              <w:rPr>
                <w:rFonts w:hint="eastAsia" w:ascii="仿宋_GB2312" w:hAnsi="仿宋_GB2312" w:eastAsia="仿宋_GB2312"/>
                <w:sz w:val="24"/>
                <w:szCs w:val="24"/>
                <w:lang w:eastAsia="zh-CN"/>
              </w:rPr>
              <w:t>类或</w:t>
            </w:r>
            <w:r>
              <w:rPr>
                <w:rFonts w:hint="eastAsia" w:ascii="仿宋_GB2312" w:hAnsi="仿宋_GB2312" w:eastAsia="仿宋_GB2312"/>
                <w:sz w:val="24"/>
                <w:szCs w:val="24"/>
              </w:rPr>
              <w:t>Ⅲ类银行账户余额低于约定额度时，通过本人Ⅰ类银行账户向本人同名Ⅱ</w:t>
            </w:r>
            <w:r>
              <w:rPr>
                <w:rFonts w:hint="eastAsia" w:ascii="仿宋_GB2312" w:hAnsi="仿宋_GB2312" w:eastAsia="仿宋_GB2312"/>
                <w:sz w:val="24"/>
                <w:szCs w:val="24"/>
                <w:lang w:eastAsia="zh-CN"/>
              </w:rPr>
              <w:t>类或</w:t>
            </w:r>
            <w:r>
              <w:rPr>
                <w:rFonts w:hint="eastAsia" w:ascii="仿宋_GB2312" w:hAnsi="仿宋_GB2312" w:eastAsia="仿宋_GB2312"/>
                <w:sz w:val="24"/>
                <w:szCs w:val="24"/>
              </w:rPr>
              <w:t>Ⅲ类银行账户进行充值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2674" w:type="dxa"/>
            <w:gridSpan w:val="2"/>
            <w:noWrap w:val="0"/>
            <w:vAlign w:val="center"/>
          </w:tcPr>
          <w:p>
            <w:pPr>
              <w:rPr>
                <w:rFonts w:ascii="仿宋_GB2312" w:hAnsi="仿宋_GB2312" w:eastAsia="仿宋_GB2312"/>
                <w:sz w:val="24"/>
              </w:rPr>
            </w:pPr>
            <w:r>
              <w:rPr>
                <w:rFonts w:hint="eastAsia" w:ascii="仿宋_GB2312" w:hAnsi="仿宋_GB2312" w:eastAsia="仿宋_GB2312"/>
                <w:sz w:val="24"/>
              </w:rPr>
              <w:t>资金归集</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同一法人控股集团内收款、同一品牌特许经营类收款、具有合法资金收付协议关系的企业上下游资金归集等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1054" w:type="dxa"/>
            <w:vMerge w:val="restart"/>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小额便民费用缴纳</w:t>
            </w:r>
          </w:p>
        </w:tc>
        <w:tc>
          <w:tcPr>
            <w:tcW w:w="1620" w:type="dxa"/>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跨机构业务</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缴纳租金、会员费用等，具体由清算机构制定并</w:t>
            </w:r>
            <w:r>
              <w:rPr>
                <w:rFonts w:hint="eastAsia" w:ascii="仿宋_GB2312" w:hAnsi="仿宋_GB2312" w:eastAsia="仿宋_GB2312"/>
                <w:sz w:val="24"/>
                <w:szCs w:val="24"/>
                <w:lang w:eastAsia="zh-CN"/>
              </w:rPr>
              <w:t>向</w:t>
            </w:r>
            <w:r>
              <w:rPr>
                <w:rFonts w:hint="eastAsia" w:ascii="仿宋_GB2312" w:hAnsi="仿宋_GB2312" w:eastAsia="仿宋_GB2312"/>
                <w:sz w:val="24"/>
                <w:szCs w:val="24"/>
              </w:rPr>
              <w:t>人民银行</w:t>
            </w:r>
            <w:r>
              <w:rPr>
                <w:rFonts w:hint="eastAsia" w:ascii="仿宋_GB2312" w:hAnsi="仿宋_GB2312" w:eastAsia="仿宋_GB2312"/>
                <w:sz w:val="24"/>
                <w:szCs w:val="24"/>
                <w:lang w:eastAsia="zh-CN"/>
              </w:rPr>
              <w:t>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center"/>
          </w:tcPr>
          <w:p>
            <w:pPr>
              <w:rPr>
                <w:rFonts w:ascii="仿宋_GB2312" w:hAnsi="仿宋_GB2312" w:eastAsia="仿宋_GB2312"/>
                <w:b/>
                <w:bCs/>
                <w:sz w:val="24"/>
              </w:rPr>
            </w:pPr>
          </w:p>
        </w:tc>
        <w:tc>
          <w:tcPr>
            <w:tcW w:w="1054" w:type="dxa"/>
            <w:vMerge w:val="continue"/>
            <w:noWrap w:val="0"/>
            <w:vAlign w:val="center"/>
          </w:tcPr>
          <w:p>
            <w:pPr>
              <w:pStyle w:val="7"/>
              <w:adjustRightInd w:val="0"/>
              <w:snapToGrid w:val="0"/>
              <w:spacing w:before="156" w:beforeLines="50"/>
              <w:rPr>
                <w:rFonts w:hint="eastAsia" w:ascii="仿宋_GB2312" w:hAnsi="仿宋_GB2312" w:eastAsia="仿宋_GB2312"/>
                <w:kern w:val="2"/>
                <w:sz w:val="24"/>
                <w:szCs w:val="24"/>
              </w:rPr>
            </w:pPr>
          </w:p>
        </w:tc>
        <w:tc>
          <w:tcPr>
            <w:tcW w:w="1620"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本机构业务</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szCs w:val="24"/>
              </w:rPr>
            </w:pPr>
            <w:r>
              <w:rPr>
                <w:rFonts w:hint="eastAsia" w:ascii="仿宋_GB2312" w:hAnsi="仿宋_GB2312" w:eastAsia="仿宋_GB2312"/>
                <w:sz w:val="24"/>
                <w:szCs w:val="24"/>
              </w:rPr>
              <w:t>缴纳租金、会员费用等，具体由付款人开户机构制定并</w:t>
            </w:r>
            <w:r>
              <w:rPr>
                <w:rFonts w:hint="eastAsia" w:ascii="仿宋_GB2312" w:hAnsi="仿宋_GB2312" w:eastAsia="仿宋_GB2312"/>
                <w:sz w:val="24"/>
                <w:szCs w:val="24"/>
                <w:lang w:eastAsia="zh-CN"/>
              </w:rPr>
              <w:t>向</w:t>
            </w:r>
            <w:r>
              <w:rPr>
                <w:rFonts w:hint="eastAsia" w:ascii="仿宋_GB2312" w:hAnsi="仿宋_GB2312" w:eastAsia="仿宋_GB2312"/>
                <w:sz w:val="24"/>
                <w:szCs w:val="24"/>
              </w:rPr>
              <w:t>人民银行</w:t>
            </w:r>
            <w:r>
              <w:rPr>
                <w:rFonts w:hint="eastAsia" w:ascii="仿宋_GB2312" w:hAnsi="仿宋_GB2312" w:eastAsia="仿宋_GB2312"/>
                <w:sz w:val="24"/>
                <w:szCs w:val="24"/>
                <w:lang w:eastAsia="zh-CN"/>
              </w:rPr>
              <w:t>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restart"/>
            <w:noWrap w:val="0"/>
            <w:vAlign w:val="center"/>
          </w:tcPr>
          <w:p>
            <w:pPr>
              <w:rPr>
                <w:rFonts w:ascii="仿宋_GB2312" w:hAnsi="仿宋_GB2312" w:eastAsia="仿宋_GB2312"/>
                <w:b/>
                <w:bCs/>
                <w:sz w:val="24"/>
              </w:rPr>
            </w:pPr>
            <w:r>
              <w:rPr>
                <w:rFonts w:hint="eastAsia" w:ascii="仿宋_GB2312" w:hAnsi="仿宋_GB2312" w:eastAsia="仿宋_GB2312"/>
                <w:b/>
                <w:bCs/>
                <w:sz w:val="24"/>
              </w:rPr>
              <w:t>需符合代收业务适用场景第二</w:t>
            </w:r>
            <w:r>
              <w:rPr>
                <w:rFonts w:hint="eastAsia" w:ascii="仿宋_GB2312" w:hAnsi="仿宋_GB2312" w:eastAsia="仿宋_GB2312"/>
                <w:b/>
                <w:bCs/>
                <w:sz w:val="24"/>
                <w:lang w:eastAsia="zh-CN"/>
              </w:rPr>
              <w:t>项</w:t>
            </w:r>
            <w:r>
              <w:rPr>
                <w:rFonts w:hint="eastAsia" w:ascii="仿宋_GB2312" w:hAnsi="仿宋_GB2312" w:eastAsia="仿宋_GB2312"/>
                <w:b/>
                <w:bCs/>
                <w:sz w:val="24"/>
              </w:rPr>
              <w:t>规定的授权要求</w:t>
            </w:r>
          </w:p>
        </w:tc>
        <w:tc>
          <w:tcPr>
            <w:tcW w:w="2674" w:type="dxa"/>
            <w:gridSpan w:val="2"/>
            <w:noWrap w:val="0"/>
            <w:vAlign w:val="center"/>
          </w:tcPr>
          <w:p>
            <w:pPr>
              <w:pStyle w:val="7"/>
              <w:adjustRightInd w:val="0"/>
              <w:snapToGrid w:val="0"/>
              <w:spacing w:before="156" w:beforeLines="50"/>
              <w:rPr>
                <w:rFonts w:hint="eastAsia" w:ascii="仿宋_GB2312" w:hAnsi="仿宋_GB2312" w:eastAsia="仿宋_GB2312"/>
                <w:sz w:val="24"/>
              </w:rPr>
            </w:pPr>
            <w:r>
              <w:rPr>
                <w:rFonts w:hint="eastAsia" w:ascii="仿宋_GB2312" w:hAnsi="仿宋_GB2312" w:eastAsia="仿宋_GB2312"/>
                <w:kern w:val="2"/>
                <w:sz w:val="24"/>
                <w:szCs w:val="24"/>
              </w:rPr>
              <w:t>教育培训费用缴纳</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rPr>
            </w:pPr>
            <w:r>
              <w:rPr>
                <w:rFonts w:hint="eastAsia" w:ascii="仿宋_GB2312" w:hAnsi="仿宋_GB2312" w:eastAsia="仿宋_GB2312"/>
                <w:sz w:val="24"/>
                <w:szCs w:val="24"/>
              </w:rPr>
              <w:t>限定为</w:t>
            </w:r>
            <w:r>
              <w:rPr>
                <w:rFonts w:hint="eastAsia" w:ascii="仿宋_GB2312" w:hAnsi="仿宋_GB2312" w:eastAsia="仿宋_GB2312"/>
                <w:sz w:val="24"/>
              </w:rPr>
              <w:t>经教育主管部门、人</w:t>
            </w:r>
            <w:r>
              <w:rPr>
                <w:rFonts w:hint="eastAsia" w:ascii="仿宋_GB2312" w:hAnsi="仿宋_GB2312" w:eastAsia="仿宋_GB2312"/>
                <w:sz w:val="24"/>
                <w:lang w:eastAsia="zh-CN"/>
              </w:rPr>
              <w:t>力资源</w:t>
            </w:r>
            <w:r>
              <w:rPr>
                <w:rFonts w:hint="eastAsia" w:ascii="仿宋_GB2312" w:hAnsi="仿宋_GB2312" w:eastAsia="仿宋_GB2312"/>
                <w:sz w:val="24"/>
              </w:rPr>
              <w:t>社</w:t>
            </w:r>
            <w:r>
              <w:rPr>
                <w:rFonts w:hint="eastAsia" w:ascii="仿宋_GB2312" w:hAnsi="仿宋_GB2312" w:eastAsia="仿宋_GB2312"/>
                <w:sz w:val="24"/>
                <w:lang w:eastAsia="zh-CN"/>
              </w:rPr>
              <w:t>会保障</w:t>
            </w:r>
            <w:r>
              <w:rPr>
                <w:rFonts w:hint="eastAsia" w:ascii="仿宋_GB2312" w:hAnsi="仿宋_GB2312" w:eastAsia="仿宋_GB2312"/>
                <w:sz w:val="24"/>
              </w:rPr>
              <w:t>部门等有权部门批准成立的教育及培训类机构</w:t>
            </w:r>
            <w:r>
              <w:rPr>
                <w:rFonts w:hint="eastAsia" w:ascii="仿宋_GB2312" w:hAnsi="仿宋_GB2312" w:eastAsia="仿宋_GB2312"/>
                <w:sz w:val="24"/>
                <w:szCs w:val="24"/>
              </w:rPr>
              <w:t>费用缴纳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top"/>
          </w:tcPr>
          <w:p>
            <w:pPr>
              <w:rPr>
                <w:rFonts w:hint="eastAsia" w:ascii="仿宋_GB2312" w:hAnsi="仿宋_GB2312" w:eastAsia="仿宋_GB2312"/>
                <w:sz w:val="24"/>
              </w:rPr>
            </w:pPr>
          </w:p>
        </w:tc>
        <w:tc>
          <w:tcPr>
            <w:tcW w:w="2674" w:type="dxa"/>
            <w:gridSpan w:val="2"/>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还款</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rPr>
            </w:pPr>
            <w:r>
              <w:rPr>
                <w:rFonts w:hint="eastAsia" w:ascii="仿宋_GB2312" w:hAnsi="仿宋_GB2312" w:eastAsia="仿宋_GB2312"/>
                <w:kern w:val="2"/>
                <w:sz w:val="24"/>
                <w:szCs w:val="24"/>
              </w:rPr>
              <w:t>小额贷款公司贷款偿还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top"/>
          </w:tcPr>
          <w:p>
            <w:pPr>
              <w:rPr>
                <w:rFonts w:hint="eastAsia" w:ascii="仿宋_GB2312" w:hAnsi="仿宋_GB2312" w:eastAsia="仿宋_GB2312"/>
                <w:sz w:val="24"/>
              </w:rPr>
            </w:pPr>
          </w:p>
        </w:tc>
        <w:tc>
          <w:tcPr>
            <w:tcW w:w="2674" w:type="dxa"/>
            <w:gridSpan w:val="2"/>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基金理财产品购买</w:t>
            </w:r>
          </w:p>
        </w:tc>
        <w:tc>
          <w:tcPr>
            <w:tcW w:w="8854" w:type="dxa"/>
            <w:noWrap w:val="0"/>
            <w:vAlign w:val="center"/>
          </w:tcPr>
          <w:p>
            <w:pPr>
              <w:pStyle w:val="7"/>
              <w:adjustRightInd w:val="0"/>
              <w:snapToGrid w:val="0"/>
              <w:spacing w:before="156" w:beforeLines="50"/>
              <w:rPr>
                <w:rFonts w:hint="eastAsia" w:ascii="仿宋_GB2312" w:hAnsi="仿宋_GB2312" w:eastAsia="仿宋_GB2312"/>
                <w:sz w:val="24"/>
              </w:rPr>
            </w:pPr>
            <w:r>
              <w:rPr>
                <w:rFonts w:hint="eastAsia" w:ascii="仿宋_GB2312" w:eastAsia="仿宋_GB2312"/>
                <w:sz w:val="24"/>
                <w:szCs w:val="32"/>
              </w:rPr>
              <w:t>限定为投资者定期或者定额投资经国务院金融监督管理机构批准或者备案发行的基金或者理财产品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834" w:type="dxa"/>
            <w:vMerge w:val="continue"/>
            <w:noWrap w:val="0"/>
            <w:vAlign w:val="top"/>
          </w:tcPr>
          <w:p>
            <w:pPr>
              <w:rPr>
                <w:rFonts w:hint="eastAsia" w:ascii="仿宋_GB2312" w:hAnsi="仿宋_GB2312" w:eastAsia="仿宋_GB2312"/>
                <w:sz w:val="24"/>
              </w:rPr>
            </w:pPr>
          </w:p>
        </w:tc>
        <w:tc>
          <w:tcPr>
            <w:tcW w:w="2674" w:type="dxa"/>
            <w:gridSpan w:val="2"/>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保险费用缴纳</w:t>
            </w:r>
          </w:p>
        </w:tc>
        <w:tc>
          <w:tcPr>
            <w:tcW w:w="8854" w:type="dxa"/>
            <w:noWrap w:val="0"/>
            <w:vAlign w:val="center"/>
          </w:tcPr>
          <w:p>
            <w:pPr>
              <w:pStyle w:val="7"/>
              <w:adjustRightInd w:val="0"/>
              <w:snapToGrid w:val="0"/>
              <w:spacing w:before="156" w:beforeLines="50"/>
              <w:rPr>
                <w:rFonts w:hint="eastAsia" w:ascii="仿宋_GB2312" w:hAnsi="仿宋_GB2312" w:eastAsia="仿宋_GB2312"/>
                <w:kern w:val="2"/>
                <w:sz w:val="24"/>
                <w:szCs w:val="24"/>
              </w:rPr>
            </w:pPr>
            <w:r>
              <w:rPr>
                <w:rFonts w:hint="eastAsia" w:ascii="仿宋_GB2312" w:hAnsi="仿宋_GB2312" w:eastAsia="仿宋_GB2312"/>
                <w:kern w:val="2"/>
                <w:sz w:val="24"/>
                <w:szCs w:val="24"/>
              </w:rPr>
              <w:t>保</w:t>
            </w:r>
            <w:r>
              <w:rPr>
                <w:rFonts w:hint="eastAsia" w:ascii="仿宋_GB2312" w:hAnsi="仿宋_GB2312" w:eastAsia="仿宋_GB2312"/>
                <w:kern w:val="2"/>
                <w:sz w:val="24"/>
                <w:szCs w:val="24"/>
                <w:lang w:eastAsia="zh-CN"/>
              </w:rPr>
              <w:t>险</w:t>
            </w:r>
            <w:r>
              <w:rPr>
                <w:rFonts w:hint="eastAsia" w:ascii="仿宋_GB2312" w:hAnsi="仿宋_GB2312" w:eastAsia="仿宋_GB2312"/>
                <w:kern w:val="2"/>
                <w:sz w:val="24"/>
                <w:szCs w:val="24"/>
              </w:rPr>
              <w:t>费</w:t>
            </w:r>
            <w:r>
              <w:rPr>
                <w:rFonts w:hint="eastAsia" w:ascii="仿宋_GB2312" w:hAnsi="仿宋_GB2312" w:eastAsia="仿宋_GB2312"/>
                <w:kern w:val="2"/>
                <w:sz w:val="24"/>
                <w:szCs w:val="24"/>
                <w:lang w:eastAsia="zh-CN"/>
              </w:rPr>
              <w:t>用</w:t>
            </w:r>
            <w:r>
              <w:rPr>
                <w:rFonts w:hint="eastAsia" w:ascii="仿宋_GB2312" w:hAnsi="仿宋_GB2312" w:eastAsia="仿宋_GB2312"/>
                <w:kern w:val="2"/>
                <w:sz w:val="24"/>
                <w:szCs w:val="24"/>
              </w:rPr>
              <w:t>缴纳（投资型保险）</w:t>
            </w:r>
          </w:p>
        </w:tc>
      </w:tr>
    </w:tbl>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0" w:lineRule="exact"/>
        <w:ind w:left="0" w:leftChars="0" w:right="0" w:rightChars="0" w:firstLine="640" w:firstLineChars="0"/>
        <w:jc w:val="both"/>
        <w:textAlignment w:val="baseline"/>
        <w:outlineLvl w:val="9"/>
        <w:rPr>
          <w:rFonts w:hint="default" w:ascii="仿宋_GB2312" w:hAnsi="仿宋_GB2312" w:eastAsia="仿宋_GB2312"/>
          <w:snapToGrid/>
          <w:vanish w:val="0"/>
          <w:color w:val="auto"/>
          <w:spacing w:val="4"/>
          <w:w w:val="100"/>
          <w:kern w:val="2"/>
          <w:position w:val="0"/>
          <w:sz w:val="30"/>
          <w:lang w:val="en-US" w:eastAsia="zh-CN"/>
        </w:rPr>
      </w:pPr>
    </w:p>
    <w:sectPr>
      <w:headerReference r:id="rId3" w:type="default"/>
      <w:footerReference r:id="rId5" w:type="default"/>
      <w:headerReference r:id="rId4" w:type="even"/>
      <w:footerReference r:id="rId6" w:type="even"/>
      <w:pgSz w:w="16838" w:h="11906" w:orient="landscape"/>
      <w:pgMar w:top="935" w:right="2097" w:bottom="1219" w:left="1701" w:header="737" w:footer="964" w:gutter="0"/>
      <w:paperSrc/>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宋体" w:hAnsi="宋体" w:eastAsia="宋体"/>
        <w:sz w:val="28"/>
      </w:rPr>
    </w:pPr>
    <w:r>
      <w:rPr>
        <w:rFonts w:hint="eastAsia" w:ascii="宋体" w:hAnsi="宋体" w:eastAsia="宋体"/>
        <w:sz w:val="28"/>
        <w:lang w:eastAsia="zh-CN"/>
      </w:rPr>
      <w:t>—</w:t>
    </w:r>
    <w:r>
      <w:rPr>
        <w:rFonts w:hint="eastAsia" w:ascii="宋体" w:hAnsi="宋体" w:eastAsia="宋体"/>
        <w:sz w:val="28"/>
        <w:lang w:val="en-US" w:eastAsia="zh-CN"/>
      </w:rPr>
      <w:t xml:space="preserve"> </w:t>
    </w:r>
    <w:r>
      <w:rPr>
        <w:rFonts w:hint="eastAsia" w:ascii="宋体" w:hAnsi="宋体" w:eastAsia="宋体"/>
        <w:sz w:val="28"/>
      </w:rPr>
      <w:fldChar w:fldCharType="begin"/>
    </w:r>
    <w:r>
      <w:rPr>
        <w:rStyle w:val="6"/>
        <w:rFonts w:hint="eastAsia" w:ascii="宋体" w:hAnsi="宋体" w:eastAsia="宋体"/>
        <w:sz w:val="28"/>
      </w:rPr>
      <w:instrText xml:space="preserve">PAGE  </w:instrText>
    </w:r>
    <w:r>
      <w:rPr>
        <w:rFonts w:hint="eastAsia" w:ascii="宋体" w:hAnsi="宋体" w:eastAsia="宋体"/>
        <w:sz w:val="28"/>
      </w:rPr>
      <w:fldChar w:fldCharType="separate"/>
    </w:r>
    <w:r>
      <w:rPr>
        <w:rStyle w:val="6"/>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lang w:val="en-US" w:eastAsia="zh-CN"/>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Fonts w:hint="eastAsia" w:ascii="宋体" w:hAnsi="宋体" w:eastAsia="宋体"/>
        <w:sz w:val="28"/>
        <w:lang w:eastAsia="zh-CN"/>
      </w:rPr>
      <w:t>—</w:t>
    </w:r>
    <w:r>
      <w:rPr>
        <w:rFonts w:hint="eastAsia" w:ascii="宋体" w:hAnsi="宋体" w:eastAsia="宋体"/>
        <w:sz w:val="28"/>
        <w:lang w:val="en-US" w:eastAsia="zh-CN"/>
      </w:rPr>
      <w:t xml:space="preserve"> </w:t>
    </w:r>
    <w:r>
      <w:rPr>
        <w:rFonts w:hint="eastAsia" w:ascii="宋体" w:hAnsi="宋体" w:eastAsia="宋体"/>
        <w:sz w:val="28"/>
      </w:rPr>
      <w:fldChar w:fldCharType="begin"/>
    </w:r>
    <w:r>
      <w:rPr>
        <w:rStyle w:val="6"/>
        <w:rFonts w:hint="eastAsia" w:ascii="宋体" w:hAnsi="宋体" w:eastAsia="宋体"/>
        <w:sz w:val="28"/>
      </w:rPr>
      <w:instrText xml:space="preserve">PAGE  </w:instrText>
    </w:r>
    <w:r>
      <w:rPr>
        <w:rFonts w:hint="eastAsia" w:ascii="宋体" w:hAnsi="宋体" w:eastAsia="宋体"/>
        <w:sz w:val="28"/>
      </w:rPr>
      <w:fldChar w:fldCharType="separate"/>
    </w:r>
    <w:r>
      <w:rPr>
        <w:rStyle w:val="6"/>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lang w:val="en-US" w:eastAsia="zh-CN"/>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5AA4E56"/>
    <w:rsid w:val="66D226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45;&#23384;\&#9733;&#20854;&#20182;&#25991;&#20214;&#22841;&#25972;&#29702;&#36807;&#65292;&#27492;&#20026;&#26242;&#23384;\&#9675;&#32593;&#31449;&#19978;&#20256;&#30456;&#20851;\&#36164;&#35759;&#25919;&#31574;\pbc200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pbc2005.wpt</Template>
  <Pages>1</Pages>
  <Words>0</Words>
  <Characters>0</Characters>
  <Lines>0</Lines>
  <Paragraphs>0</Paragraphs>
  <TotalTime>4.5475462962963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1900-01-03T05:08:28Z</dcterms:created>
  <dc:creator>麻昊昱</dc:creator>
  <cp:lastModifiedBy>Administrator</cp:lastModifiedBy>
  <cp:lastPrinted>1900-01-03T05:08:28Z</cp:lastPrinted>
  <dcterms:modified xsi:type="dcterms:W3CDTF">2020-11-02T00:51:52Z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