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line="640" w:lineRule="exact"/>
        <w:contextualSpacing/>
        <w:jc w:val="center"/>
        <w:rPr>
          <w:rFonts w:ascii="方正小标宋简体" w:hAnsi="宋体" w:eastAsia="方正小标宋简体" w:cs="宋体"/>
          <w:color w:val="000000"/>
          <w:kern w:val="0"/>
          <w:sz w:val="36"/>
          <w:szCs w:val="36"/>
        </w:rPr>
      </w:pPr>
      <w:r>
        <w:rPr>
          <w:rFonts w:hint="eastAsia" w:ascii="方正小标宋简体" w:hAnsi="宋体" w:eastAsia="方正小标宋简体" w:cs="宋体"/>
          <w:color w:val="000000"/>
          <w:kern w:val="0"/>
          <w:sz w:val="36"/>
          <w:szCs w:val="36"/>
        </w:rPr>
        <w:t>关于《国家税务总局东莞市税务局关于调整东莞市</w:t>
      </w:r>
    </w:p>
    <w:p>
      <w:pPr>
        <w:widowControl/>
        <w:spacing w:before="100" w:beforeAutospacing="1" w:after="100" w:afterAutospacing="1" w:line="640" w:lineRule="exact"/>
        <w:contextualSpacing/>
        <w:jc w:val="center"/>
        <w:rPr>
          <w:rFonts w:ascii="方正小标宋简体" w:hAnsi="宋体" w:eastAsia="方正小标宋简体" w:cs="宋体"/>
          <w:color w:val="000000"/>
          <w:kern w:val="0"/>
          <w:sz w:val="36"/>
          <w:szCs w:val="36"/>
        </w:rPr>
      </w:pPr>
      <w:r>
        <w:rPr>
          <w:rFonts w:hint="eastAsia" w:ascii="方正小标宋简体" w:hAnsi="宋体" w:eastAsia="方正小标宋简体" w:cs="宋体"/>
          <w:color w:val="000000"/>
          <w:kern w:val="0"/>
          <w:sz w:val="36"/>
          <w:szCs w:val="36"/>
        </w:rPr>
        <w:t>个人二手房转让个人所得税、土地增值税</w:t>
      </w:r>
    </w:p>
    <w:p>
      <w:pPr>
        <w:widowControl/>
        <w:spacing w:before="100" w:beforeAutospacing="1" w:after="100" w:afterAutospacing="1" w:line="640" w:lineRule="exact"/>
        <w:contextualSpacing/>
        <w:jc w:val="center"/>
        <w:rPr>
          <w:rFonts w:ascii="方正小标宋简体" w:hAnsi="宋体" w:eastAsia="方正小标宋简体" w:cs="宋体"/>
          <w:color w:val="000000"/>
          <w:kern w:val="0"/>
          <w:sz w:val="36"/>
          <w:szCs w:val="36"/>
        </w:rPr>
      </w:pPr>
      <w:r>
        <w:rPr>
          <w:rFonts w:hint="eastAsia" w:ascii="方正小标宋简体" w:hAnsi="宋体" w:eastAsia="方正小标宋简体" w:cs="宋体"/>
          <w:color w:val="000000"/>
          <w:kern w:val="0"/>
          <w:sz w:val="36"/>
          <w:szCs w:val="36"/>
        </w:rPr>
        <w:t>核定征收率的公告》的解读</w:t>
      </w:r>
    </w:p>
    <w:p>
      <w:pPr>
        <w:widowControl/>
        <w:spacing w:before="100" w:beforeAutospacing="1" w:after="100" w:afterAutospacing="1" w:line="640" w:lineRule="exact"/>
        <w:contextualSpacing/>
        <w:jc w:val="center"/>
        <w:rPr>
          <w:rFonts w:ascii="方正小标宋简体" w:hAnsi="宋体" w:eastAsia="方正小标宋简体" w:cs="宋体"/>
          <w:color w:val="000000"/>
          <w:kern w:val="0"/>
          <w:sz w:val="36"/>
          <w:szCs w:val="36"/>
        </w:rPr>
      </w:pPr>
    </w:p>
    <w:p>
      <w:pPr>
        <w:widowControl/>
        <w:spacing w:before="100" w:beforeAutospacing="1" w:after="100" w:afterAutospacing="1" w:line="640" w:lineRule="exact"/>
        <w:ind w:firstLine="640" w:firstLineChars="200"/>
        <w:contextualSpacing/>
        <w:jc w:val="left"/>
        <w:rPr>
          <w:rFonts w:ascii="方正小标宋简体" w:hAnsi="宋体" w:eastAsia="方正小标宋简体" w:cs="宋体"/>
          <w:b/>
          <w:color w:val="000000"/>
          <w:kern w:val="0"/>
          <w:sz w:val="36"/>
          <w:szCs w:val="36"/>
        </w:rPr>
      </w:pPr>
      <w:r>
        <w:rPr>
          <w:rFonts w:hint="eastAsia" w:ascii="仿宋_GB2312" w:hAnsi="宋体" w:eastAsia="仿宋_GB2312" w:cs="仿宋_GB2312"/>
          <w:sz w:val="32"/>
          <w:szCs w:val="32"/>
        </w:rPr>
        <w:t>为规范个人二手房转让相关税种管理，国家税务总局东莞市税务局制发了《国家税务总局东莞市税务局关于调整东莞市个人二手房转让个人所得税、土地增值税核定征收率的公告》（以下简称《公告》）。现解读如下：</w:t>
      </w:r>
    </w:p>
    <w:p>
      <w:pPr>
        <w:widowControl/>
        <w:spacing w:before="100" w:beforeAutospacing="1" w:after="100" w:afterAutospacing="1" w:line="640" w:lineRule="exact"/>
        <w:ind w:firstLine="645"/>
        <w:contextualSpacing/>
        <w:jc w:val="left"/>
        <w:rPr>
          <w:rFonts w:ascii="黑体" w:hAnsi="黑体" w:eastAsia="黑体" w:cs="宋体"/>
          <w:color w:val="000000"/>
          <w:kern w:val="0"/>
          <w:sz w:val="32"/>
          <w:szCs w:val="32"/>
        </w:rPr>
      </w:pPr>
      <w:r>
        <w:rPr>
          <w:rFonts w:hint="eastAsia" w:ascii="黑体" w:hAnsi="黑体" w:eastAsia="黑体" w:cs="宋体"/>
          <w:b/>
          <w:color w:val="000000"/>
          <w:kern w:val="0"/>
          <w:sz w:val="32"/>
          <w:szCs w:val="32"/>
        </w:rPr>
        <w:t>一、</w:t>
      </w:r>
      <w:r>
        <w:rPr>
          <w:rFonts w:hint="eastAsia" w:ascii="黑体" w:hAnsi="黑体" w:eastAsia="黑体" w:cs="宋体"/>
          <w:color w:val="000000"/>
          <w:kern w:val="0"/>
          <w:sz w:val="32"/>
          <w:szCs w:val="32"/>
        </w:rPr>
        <w:t>《公告》出台背景</w:t>
      </w:r>
    </w:p>
    <w:p>
      <w:pPr>
        <w:widowControl/>
        <w:spacing w:before="100" w:beforeAutospacing="1" w:after="100" w:afterAutospacing="1" w:line="640" w:lineRule="exact"/>
        <w:ind w:firstLine="645"/>
        <w:contextualSpacing/>
        <w:jc w:val="left"/>
        <w:rPr>
          <w:rFonts w:ascii="仿宋_GB2312" w:hAnsi="宋体" w:eastAsia="仿宋_GB2312" w:cs="仿宋_GB2312"/>
          <w:sz w:val="32"/>
          <w:szCs w:val="32"/>
        </w:rPr>
      </w:pPr>
      <w:r>
        <w:rPr>
          <w:rFonts w:hint="eastAsia" w:ascii="仿宋_GB2312" w:hAnsi="宋体" w:eastAsia="仿宋_GB2312" w:cs="仿宋_GB2312"/>
          <w:sz w:val="32"/>
          <w:szCs w:val="32"/>
        </w:rPr>
        <w:t>为</w:t>
      </w:r>
      <w:r>
        <w:rPr>
          <w:rFonts w:hint="eastAsia" w:ascii="仿宋_GB2312" w:hAnsi="仿宋_GB2312" w:eastAsia="仿宋_GB2312" w:cs="仿宋_GB2312"/>
          <w:sz w:val="32"/>
          <w:szCs w:val="32"/>
        </w:rPr>
        <w:t>进一步推进区域间税务执法标准统一，</w:t>
      </w:r>
      <w:r>
        <w:rPr>
          <w:rFonts w:hint="eastAsia" w:ascii="仿宋_GB2312" w:hAnsi="宋体" w:eastAsia="仿宋_GB2312" w:cs="宋体"/>
          <w:color w:val="000000"/>
          <w:sz w:val="32"/>
          <w:szCs w:val="32"/>
        </w:rPr>
        <w:t>公平二手房转让税负，</w:t>
      </w:r>
      <w:r>
        <w:rPr>
          <w:rFonts w:hint="eastAsia" w:ascii="仿宋_GB2312" w:hAnsi="仿宋_GB2312" w:eastAsia="仿宋_GB2312" w:cs="仿宋_GB2312"/>
          <w:sz w:val="32"/>
          <w:szCs w:val="32"/>
        </w:rPr>
        <w:t>提升办税便利度，</w:t>
      </w:r>
      <w:r>
        <w:rPr>
          <w:rFonts w:hint="eastAsia" w:ascii="仿宋_GB2312" w:hAnsi="宋体" w:eastAsia="仿宋_GB2312" w:cs="仿宋_GB2312"/>
          <w:sz w:val="32"/>
          <w:szCs w:val="32"/>
        </w:rPr>
        <w:t>降低征纳成本，提高税法遵从度和社会满意度，根据深化“放管服”改革、服务“六稳”“六保”、“房住不炒”要求，按照有利于“便民办税、为民减负”、有利于优化营商环境、有利于房地产市场健康发展的原则，制发本公告。</w:t>
      </w:r>
    </w:p>
    <w:p>
      <w:pPr>
        <w:widowControl/>
        <w:spacing w:before="100" w:beforeAutospacing="1" w:after="100" w:afterAutospacing="1" w:line="640" w:lineRule="exact"/>
        <w:ind w:firstLine="645"/>
        <w:contextualSpacing/>
        <w:jc w:val="left"/>
        <w:rPr>
          <w:rFonts w:ascii="黑体" w:hAnsi="黑体" w:eastAsia="黑体" w:cs="仿宋_GB2312"/>
          <w:sz w:val="32"/>
          <w:szCs w:val="32"/>
        </w:rPr>
      </w:pPr>
      <w:r>
        <w:rPr>
          <w:rFonts w:hint="eastAsia" w:ascii="黑体" w:hAnsi="黑体" w:eastAsia="黑体" w:cs="仿宋_GB2312"/>
          <w:sz w:val="32"/>
          <w:szCs w:val="32"/>
        </w:rPr>
        <w:t>二、《公告》主要内容</w:t>
      </w:r>
    </w:p>
    <w:p>
      <w:pPr>
        <w:widowControl/>
        <w:spacing w:before="100" w:beforeAutospacing="1" w:after="100" w:afterAutospacing="1" w:line="640" w:lineRule="exact"/>
        <w:ind w:firstLine="645"/>
        <w:contextualSpacing/>
        <w:jc w:val="left"/>
        <w:rPr>
          <w:rFonts w:ascii="仿宋_GB2312" w:hAnsi="宋体" w:eastAsia="仿宋_GB2312" w:cs="仿宋_GB2312"/>
          <w:sz w:val="32"/>
          <w:szCs w:val="32"/>
        </w:rPr>
      </w:pPr>
      <w:r>
        <w:rPr>
          <w:rFonts w:hint="eastAsia" w:ascii="仿宋_GB2312" w:hAnsi="宋体" w:eastAsia="仿宋_GB2312" w:cs="仿宋_GB2312"/>
          <w:sz w:val="32"/>
          <w:szCs w:val="32"/>
        </w:rPr>
        <w:t>《公告》对我市个人二手房转让的个人所得税、土地增值税核定征收率进行调整，以与全省其他主要城市统一执行标准，保持税负一致。</w:t>
      </w:r>
    </w:p>
    <w:p>
      <w:pPr>
        <w:widowControl/>
        <w:spacing w:before="100" w:beforeAutospacing="1" w:after="100" w:afterAutospacing="1" w:line="640" w:lineRule="exact"/>
        <w:ind w:firstLine="645"/>
        <w:contextualSpacing/>
        <w:jc w:val="left"/>
        <w:rPr>
          <w:rFonts w:ascii="仿宋_GB2312" w:hAnsi="宋体" w:eastAsia="仿宋_GB2312" w:cs="仿宋_GB2312"/>
          <w:sz w:val="32"/>
          <w:szCs w:val="32"/>
        </w:rPr>
      </w:pPr>
      <w:r>
        <w:rPr>
          <w:rFonts w:hint="eastAsia" w:ascii="仿宋_GB2312" w:hAnsi="宋体" w:eastAsia="仿宋_GB2312" w:cs="仿宋_GB2312"/>
          <w:sz w:val="32"/>
          <w:szCs w:val="32"/>
        </w:rPr>
        <w:t>（一）个人转让二手住宅的个人所得税核定征收率调整为1%，个人转让二手非住宅的个人所得税核定征收率调整为1.5%。对拍卖等特殊情形转让的，按相关税收政策规定执行。</w:t>
      </w:r>
    </w:p>
    <w:p>
      <w:pPr>
        <w:widowControl/>
        <w:spacing w:before="100" w:beforeAutospacing="1" w:after="100" w:afterAutospacing="1" w:line="640" w:lineRule="exact"/>
        <w:ind w:firstLine="645"/>
        <w:contextualSpacing/>
        <w:jc w:val="left"/>
        <w:rPr>
          <w:rFonts w:ascii="仿宋_GB2312" w:hAnsi="宋体" w:eastAsia="仿宋_GB2312" w:cs="仿宋_GB2312"/>
          <w:sz w:val="32"/>
          <w:szCs w:val="32"/>
        </w:rPr>
      </w:pPr>
      <w:r>
        <w:rPr>
          <w:rFonts w:hint="eastAsia" w:ascii="仿宋_GB2312" w:hAnsi="宋体" w:eastAsia="仿宋_GB2312" w:cs="仿宋_GB2312"/>
          <w:sz w:val="32"/>
          <w:szCs w:val="32"/>
        </w:rPr>
        <w:t>（二）个人转让二手非住宅的土地增值税核定征收率调整为5%。</w:t>
      </w:r>
    </w:p>
    <w:p>
      <w:pPr>
        <w:widowControl/>
        <w:spacing w:before="100" w:beforeAutospacing="1" w:after="100" w:afterAutospacing="1" w:line="640" w:lineRule="exact"/>
        <w:ind w:firstLine="645"/>
        <w:contextualSpacing/>
        <w:jc w:val="left"/>
        <w:rPr>
          <w:rFonts w:ascii="仿宋_GB2312" w:hAnsi="宋体" w:eastAsia="仿宋_GB2312" w:cs="仿宋_GB2312"/>
          <w:sz w:val="32"/>
          <w:szCs w:val="32"/>
        </w:rPr>
      </w:pPr>
      <w:r>
        <w:rPr>
          <w:rFonts w:hint="eastAsia" w:ascii="仿宋_GB2312" w:hAnsi="宋体" w:eastAsia="仿宋_GB2312" w:cs="仿宋_GB2312"/>
          <w:sz w:val="32"/>
          <w:szCs w:val="32"/>
        </w:rPr>
        <w:t>（三）明确《东莞市地方税务局关于我市土地增值税预征率及核定征收率问题的公告》（东莞市地方税务局公告2014年第1号）、《东莞市地方税务局关于个人所得税核定征收的行业所得率及带征率调整问题的公告》（东莞市地方税务局公告2014年第2号）有关规定与本《公告》不一致的，以本《公告》规定为准</w:t>
      </w:r>
      <w:r>
        <w:rPr>
          <w:rFonts w:hint="eastAsia" w:ascii="仿宋_GB2312" w:hAnsi="宋体" w:eastAsia="仿宋_GB2312" w:cs="仿宋_GB2312"/>
          <w:sz w:val="32"/>
          <w:szCs w:val="32"/>
          <w:lang w:eastAsia="zh-CN"/>
        </w:rPr>
        <w:t>。</w:t>
      </w:r>
      <w:bookmarkStart w:id="0" w:name="_GoBack"/>
      <w:bookmarkEnd w:id="0"/>
    </w:p>
    <w:p>
      <w:pPr>
        <w:widowControl/>
        <w:spacing w:before="100" w:beforeAutospacing="1" w:after="100" w:afterAutospacing="1" w:line="640" w:lineRule="exact"/>
        <w:ind w:firstLine="645"/>
        <w:contextualSpacing/>
        <w:jc w:val="left"/>
        <w:rPr>
          <w:rFonts w:ascii="黑体" w:hAnsi="黑体" w:eastAsia="黑体" w:cs="仿宋_GB2312"/>
          <w:sz w:val="32"/>
          <w:szCs w:val="32"/>
        </w:rPr>
      </w:pPr>
      <w:r>
        <w:rPr>
          <w:rFonts w:hint="eastAsia" w:ascii="黑体" w:hAnsi="黑体" w:eastAsia="黑体" w:cs="仿宋_GB2312"/>
          <w:sz w:val="32"/>
          <w:szCs w:val="32"/>
        </w:rPr>
        <w:t>三、《公告》生效时间</w:t>
      </w:r>
    </w:p>
    <w:p>
      <w:pPr>
        <w:widowControl/>
        <w:spacing w:before="100" w:beforeAutospacing="1" w:after="100" w:afterAutospacing="1" w:line="640" w:lineRule="exact"/>
        <w:ind w:firstLine="645"/>
        <w:contextualSpacing/>
        <w:jc w:val="left"/>
        <w:rPr>
          <w:rFonts w:ascii="仿宋_GB2312" w:hAnsi="宋体" w:eastAsia="仿宋_GB2312" w:cs="仿宋_GB2312"/>
          <w:sz w:val="32"/>
          <w:szCs w:val="32"/>
        </w:rPr>
      </w:pPr>
      <w:r>
        <w:rPr>
          <w:rFonts w:hint="eastAsia" w:ascii="仿宋_GB2312" w:hAnsi="宋体" w:eastAsia="仿宋_GB2312" w:cs="仿宋_GB2312"/>
          <w:sz w:val="32"/>
          <w:szCs w:val="32"/>
        </w:rPr>
        <w:t>本公告从2021年11月1日起执行。</w:t>
      </w:r>
    </w:p>
    <w:p>
      <w:pPr>
        <w:widowControl/>
        <w:spacing w:before="100" w:beforeAutospacing="1" w:after="100" w:afterAutospacing="1" w:line="640" w:lineRule="exact"/>
        <w:contextualSpacing/>
        <w:jc w:val="left"/>
        <w:rPr>
          <w:rFonts w:ascii="方正小标宋简体" w:hAnsi="宋体" w:eastAsia="方正小标宋简体" w:cs="宋体"/>
          <w:color w:val="000000"/>
          <w:kern w:val="0"/>
          <w:sz w:val="36"/>
          <w:szCs w:val="36"/>
        </w:rPr>
      </w:pPr>
    </w:p>
    <w:p>
      <w:pPr>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00A"/>
    <w:rsid w:val="00084C91"/>
    <w:rsid w:val="00772CBC"/>
    <w:rsid w:val="00977359"/>
    <w:rsid w:val="00B178A7"/>
    <w:rsid w:val="00F1600A"/>
    <w:rsid w:val="00F24B59"/>
    <w:rsid w:val="1D5C4716"/>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9"/>
    <w:unhideWhenUsed/>
    <w:qFormat/>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qFormat/>
    <w:uiPriority w:val="99"/>
    <w:rPr>
      <w:sz w:val="18"/>
      <w:szCs w:val="18"/>
    </w:rPr>
  </w:style>
  <w:style w:type="character" w:customStyle="1" w:styleId="8">
    <w:name w:val="页脚 Char"/>
    <w:basedOn w:val="5"/>
    <w:link w:val="3"/>
    <w:uiPriority w:val="99"/>
    <w:rPr>
      <w:sz w:val="18"/>
      <w:szCs w:val="18"/>
    </w:rPr>
  </w:style>
  <w:style w:type="character" w:customStyle="1" w:styleId="9">
    <w:name w:val="批注框文本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Pages>
  <Words>98</Words>
  <Characters>563</Characters>
  <Lines>4</Lines>
  <Paragraphs>1</Paragraphs>
  <TotalTime>0</TotalTime>
  <ScaleCrop>false</ScaleCrop>
  <LinksUpToDate>false</LinksUpToDate>
  <CharactersWithSpaces>660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2021-09-28T03:30:00Z</dcterms:created>
  <dc:creator>黄伟波</dc:creator>
  <cp:lastModifiedBy>Administrator</cp:lastModifiedBy>
  <cp:lastPrinted>2021-10-29T08:58:00Z</cp:lastPrinted>
  <dcterms:modified xsi:type="dcterms:W3CDTF">2021-10-30T02:21:40Z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